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bCs/>
          <w:color w:val="808080"/>
          <w:lang w:eastAsia="fr-FR"/>
        </w:rPr>
      </w:pPr>
      <w:r w:rsidRPr="00A278B3">
        <w:rPr>
          <w:rFonts w:ascii="Tahoma" w:eastAsia="Times New Roman" w:hAnsi="Tahoma" w:cs="Tahoma"/>
          <w:b/>
          <w:bCs/>
          <w:color w:val="808080"/>
          <w:u w:val="single"/>
          <w:lang w:eastAsia="fr-FR"/>
        </w:rPr>
        <w:t>L’identification électronique est dorénavant obligatoire depuis le 01 janvier 2012</w:t>
      </w:r>
      <w:r>
        <w:rPr>
          <w:rFonts w:ascii="Tahoma" w:eastAsia="Times New Roman" w:hAnsi="Tahoma" w:cs="Tahoma"/>
          <w:bCs/>
          <w:color w:val="808080"/>
          <w:lang w:eastAsia="fr-FR"/>
        </w:rPr>
        <w:t> pour tous les chats adultes et les chatons dès l’âge de 2 mois.</w:t>
      </w:r>
    </w:p>
    <w:p w:rsid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bCs/>
          <w:color w:val="808080"/>
          <w:lang w:eastAsia="fr-FR"/>
        </w:rPr>
      </w:pPr>
      <w:r>
        <w:rPr>
          <w:rFonts w:ascii="Tahoma" w:eastAsia="Times New Roman" w:hAnsi="Tahoma" w:cs="Tahoma"/>
          <w:bCs/>
          <w:color w:val="808080"/>
          <w:lang w:eastAsia="fr-FR"/>
        </w:rPr>
        <w:t xml:space="preserve">L’identification de votre chat vous permettra de le retrouver s’il est récupéré par la marie, les vétérinaires ou les services de fourrière pour animaux ET de prouver votre propriété. </w:t>
      </w:r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b/>
          <w:color w:val="2A2A2A"/>
          <w:u w:val="single"/>
          <w:lang w:eastAsia="fr-FR"/>
        </w:rPr>
      </w:pPr>
      <w:r w:rsidRPr="005A133A">
        <w:rPr>
          <w:rFonts w:ascii="Tahoma" w:eastAsia="Times New Roman" w:hAnsi="Tahoma" w:cs="Tahoma"/>
          <w:b/>
          <w:bCs/>
          <w:color w:val="808080"/>
          <w:u w:val="single"/>
          <w:lang w:eastAsia="fr-FR"/>
        </w:rPr>
        <w:t>A partir de Janvier 2012, la législation concernant la Rage va changer.</w:t>
      </w:r>
      <w:r w:rsidRPr="005A133A">
        <w:rPr>
          <w:rFonts w:ascii="Tahoma" w:eastAsia="Times New Roman" w:hAnsi="Tahoma" w:cs="Tahoma"/>
          <w:b/>
          <w:color w:val="1F497D"/>
          <w:u w:val="single"/>
          <w:lang w:eastAsia="fr-FR"/>
        </w:rPr>
        <w:t> </w:t>
      </w:r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lang w:eastAsia="fr-FR"/>
        </w:rPr>
      </w:pPr>
      <w:r w:rsidRPr="005A133A">
        <w:rPr>
          <w:rFonts w:ascii="Tahoma" w:eastAsia="Times New Roman" w:hAnsi="Tahoma" w:cs="Tahoma"/>
          <w:color w:val="FF0000"/>
          <w:lang w:eastAsia="fr-FR"/>
        </w:rPr>
        <w:t>Formalités pour l’importation des animaux de l’UE et des pays tiers listés vers le Royaume-Uni, Malte, l’Irlande,  la Suède et la Finlande:</w:t>
      </w:r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lang w:eastAsia="fr-FR"/>
        </w:rPr>
      </w:pPr>
      <w:r w:rsidRPr="005A133A">
        <w:rPr>
          <w:rFonts w:ascii="Tahoma" w:eastAsia="Times New Roman" w:hAnsi="Tahoma" w:cs="Tahoma"/>
          <w:color w:val="1F497D"/>
          <w:lang w:eastAsia="fr-FR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53"/>
        <w:gridCol w:w="2551"/>
        <w:gridCol w:w="2977"/>
      </w:tblGrid>
      <w:tr w:rsidR="005A133A" w:rsidRPr="005A133A" w:rsidTr="005A133A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jc w:val="center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 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Jusqu’à présent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DFE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A partir du 1</w:t>
            </w:r>
            <w:r w:rsidRPr="005A133A">
              <w:rPr>
                <w:rFonts w:ascii="Tahoma" w:eastAsia="Times New Roman" w:hAnsi="Tahoma" w:cs="Tahoma"/>
                <w:bCs/>
                <w:color w:val="808080"/>
                <w:vertAlign w:val="superscript"/>
                <w:lang w:eastAsia="fr-FR"/>
              </w:rPr>
              <w:t>er</w:t>
            </w: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  Janvier 2012</w:t>
            </w:r>
          </w:p>
        </w:tc>
      </w:tr>
      <w:tr w:rsidR="005A133A" w:rsidRPr="005A133A" w:rsidTr="005A133A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Puce électronique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Oui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Oui</w:t>
            </w:r>
          </w:p>
        </w:tc>
      </w:tr>
      <w:tr w:rsidR="005A133A" w:rsidRPr="005A133A" w:rsidTr="005A133A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Vaccination Rage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Oui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Oui</w:t>
            </w:r>
          </w:p>
        </w:tc>
      </w:tr>
      <w:tr w:rsidR="005A133A" w:rsidRPr="005A133A" w:rsidTr="005A133A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Titrage des anticorps antirabiques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Oui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Non</w:t>
            </w:r>
          </w:p>
        </w:tc>
      </w:tr>
      <w:tr w:rsidR="005A133A" w:rsidRPr="005A133A" w:rsidTr="005A133A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Durée de période d’attente avant importation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6 mois à partir de la prise de sang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21 jours après la vaccination Rage</w:t>
            </w:r>
          </w:p>
        </w:tc>
      </w:tr>
      <w:tr w:rsidR="005A133A" w:rsidRPr="005A133A" w:rsidTr="005A133A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Traitement anti-tiques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Oui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Non</w:t>
            </w:r>
          </w:p>
        </w:tc>
      </w:tr>
      <w:tr w:rsidR="005A133A" w:rsidRPr="005A133A" w:rsidTr="005A133A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proofErr w:type="spellStart"/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Vermifugation</w:t>
            </w:r>
            <w:proofErr w:type="spellEnd"/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 xml:space="preserve"> Cestodes</w:t>
            </w:r>
          </w:p>
        </w:tc>
        <w:tc>
          <w:tcPr>
            <w:tcW w:w="2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Oui</w:t>
            </w:r>
          </w:p>
        </w:tc>
        <w:tc>
          <w:tcPr>
            <w:tcW w:w="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133A" w:rsidRPr="005A133A" w:rsidRDefault="005A133A" w:rsidP="005A133A">
            <w:pPr>
              <w:spacing w:after="324" w:line="240" w:lineRule="auto"/>
              <w:rPr>
                <w:rFonts w:ascii="Tahoma" w:eastAsia="Times New Roman" w:hAnsi="Tahoma" w:cs="Tahoma"/>
                <w:color w:val="2A2A2A"/>
                <w:lang w:eastAsia="fr-FR"/>
              </w:rPr>
            </w:pPr>
            <w:r w:rsidRPr="005A133A">
              <w:rPr>
                <w:rFonts w:ascii="Tahoma" w:eastAsia="Times New Roman" w:hAnsi="Tahoma" w:cs="Tahoma"/>
                <w:bCs/>
                <w:color w:val="808080"/>
                <w:lang w:eastAsia="fr-FR"/>
              </w:rPr>
              <w:t>En considération au niveau UE</w:t>
            </w:r>
          </w:p>
        </w:tc>
      </w:tr>
    </w:tbl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lang w:eastAsia="fr-FR"/>
        </w:rPr>
      </w:pPr>
      <w:r w:rsidRPr="005A133A">
        <w:rPr>
          <w:rFonts w:ascii="Tahoma" w:eastAsia="Times New Roman" w:hAnsi="Tahoma" w:cs="Tahoma"/>
          <w:bCs/>
          <w:color w:val="808080"/>
          <w:lang w:eastAsia="fr-FR"/>
        </w:rPr>
        <w:t> </w:t>
      </w:r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lang w:eastAsia="fr-FR"/>
        </w:rPr>
      </w:pPr>
      <w:r w:rsidRPr="005A133A">
        <w:rPr>
          <w:rFonts w:ascii="Tahoma" w:eastAsia="Times New Roman" w:hAnsi="Tahoma" w:cs="Tahoma"/>
          <w:bCs/>
          <w:color w:val="808080"/>
          <w:lang w:eastAsia="fr-FR"/>
        </w:rPr>
        <w:t xml:space="preserve">En revanche, pour les animaux provenant des </w:t>
      </w:r>
      <w:r w:rsidRPr="005A133A">
        <w:rPr>
          <w:rFonts w:ascii="Tahoma" w:eastAsia="Times New Roman" w:hAnsi="Tahoma" w:cs="Tahoma"/>
          <w:bCs/>
          <w:color w:val="FF0000"/>
          <w:u w:val="single"/>
          <w:lang w:eastAsia="fr-FR"/>
        </w:rPr>
        <w:t>pays hors UE</w:t>
      </w:r>
      <w:r w:rsidRPr="005A133A">
        <w:rPr>
          <w:rFonts w:ascii="Tahoma" w:eastAsia="Times New Roman" w:hAnsi="Tahoma" w:cs="Tahoma"/>
          <w:bCs/>
          <w:color w:val="808080"/>
          <w:lang w:eastAsia="fr-FR"/>
        </w:rPr>
        <w:t xml:space="preserve">, la nécessité de titrage des anticorps antirabiques reste </w:t>
      </w:r>
      <w:r w:rsidRPr="005A133A">
        <w:rPr>
          <w:rFonts w:ascii="Tahoma" w:eastAsia="Times New Roman" w:hAnsi="Tahoma" w:cs="Tahoma"/>
          <w:bCs/>
          <w:color w:val="FF0000"/>
          <w:u w:val="single"/>
          <w:lang w:eastAsia="fr-FR"/>
        </w:rPr>
        <w:t>conservée</w:t>
      </w:r>
      <w:r w:rsidRPr="005A133A">
        <w:rPr>
          <w:rFonts w:ascii="Tahoma" w:eastAsia="Times New Roman" w:hAnsi="Tahoma" w:cs="Tahoma"/>
          <w:bCs/>
          <w:color w:val="808080"/>
          <w:lang w:eastAsia="fr-FR"/>
        </w:rPr>
        <w:t xml:space="preserve"> mais la durée de période d’attente est raccourcie à 3 mois. </w:t>
      </w:r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lang w:eastAsia="fr-FR"/>
        </w:rPr>
      </w:pPr>
      <w:r w:rsidRPr="005A133A">
        <w:rPr>
          <w:rFonts w:ascii="Tahoma" w:eastAsia="Times New Roman" w:hAnsi="Tahoma" w:cs="Tahoma"/>
          <w:bCs/>
          <w:color w:val="808080"/>
          <w:lang w:eastAsia="fr-FR"/>
        </w:rPr>
        <w:t xml:space="preserve">L’ancienne législation reste conservée pour les animaux importés en </w:t>
      </w:r>
      <w:r w:rsidRPr="005A133A">
        <w:rPr>
          <w:rFonts w:ascii="Tahoma" w:eastAsia="Times New Roman" w:hAnsi="Tahoma" w:cs="Tahoma"/>
          <w:bCs/>
          <w:color w:val="FF0000"/>
          <w:u w:val="single"/>
          <w:lang w:eastAsia="fr-FR"/>
        </w:rPr>
        <w:t>Norvège</w:t>
      </w:r>
      <w:r w:rsidRPr="005A133A">
        <w:rPr>
          <w:rFonts w:ascii="Tahoma" w:eastAsia="Times New Roman" w:hAnsi="Tahoma" w:cs="Tahoma"/>
          <w:bCs/>
          <w:color w:val="808080"/>
          <w:lang w:eastAsia="fr-FR"/>
        </w:rPr>
        <w:t xml:space="preserve"> (sauf si l’animal part du Royaume-Uni ou de la Suède).</w:t>
      </w:r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lang w:eastAsia="fr-FR"/>
        </w:rPr>
      </w:pPr>
      <w:r w:rsidRPr="005A133A">
        <w:rPr>
          <w:rFonts w:ascii="Tahoma" w:eastAsia="Times New Roman" w:hAnsi="Tahoma" w:cs="Tahoma"/>
          <w:bCs/>
          <w:color w:val="808080"/>
          <w:lang w:eastAsia="fr-FR"/>
        </w:rPr>
        <w:t xml:space="preserve"> La nouvelle législation pour le Royaume-Uni et la Suède peut être consultée sur </w:t>
      </w:r>
      <w:proofErr w:type="gramStart"/>
      <w:r w:rsidRPr="005A133A">
        <w:rPr>
          <w:rFonts w:ascii="Tahoma" w:eastAsia="Times New Roman" w:hAnsi="Tahoma" w:cs="Tahoma"/>
          <w:bCs/>
          <w:color w:val="808080"/>
          <w:lang w:eastAsia="fr-FR"/>
        </w:rPr>
        <w:t>les site internet suivants</w:t>
      </w:r>
      <w:proofErr w:type="gramEnd"/>
      <w:r w:rsidRPr="005A133A">
        <w:rPr>
          <w:rFonts w:ascii="Tahoma" w:eastAsia="Times New Roman" w:hAnsi="Tahoma" w:cs="Tahoma"/>
          <w:bCs/>
          <w:color w:val="808080"/>
          <w:lang w:eastAsia="fr-FR"/>
        </w:rPr>
        <w:t> :</w:t>
      </w:r>
      <w:r w:rsidRPr="005A133A">
        <w:rPr>
          <w:rFonts w:ascii="Tahoma" w:eastAsia="Times New Roman" w:hAnsi="Tahoma" w:cs="Tahoma"/>
          <w:color w:val="808080"/>
          <w:lang w:eastAsia="fr-FR"/>
        </w:rPr>
        <w:t> </w:t>
      </w:r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sz w:val="20"/>
          <w:szCs w:val="20"/>
          <w:lang w:eastAsia="fr-FR"/>
        </w:rPr>
      </w:pPr>
      <w:hyperlink r:id="rId4" w:tgtFrame="_blank" w:history="1">
        <w:r w:rsidRPr="005A133A">
          <w:rPr>
            <w:rFonts w:ascii="Tahoma" w:eastAsia="Times New Roman" w:hAnsi="Tahoma" w:cs="Tahoma"/>
            <w:color w:val="0066CC"/>
            <w:sz w:val="20"/>
            <w:lang w:eastAsia="fr-FR"/>
          </w:rPr>
          <w:t>http://www.defra.gov.uk/wildlife-pets/pets/travel/pets/</w:t>
        </w:r>
      </w:hyperlink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sz w:val="20"/>
          <w:szCs w:val="20"/>
          <w:lang w:eastAsia="fr-FR"/>
        </w:rPr>
      </w:pPr>
      <w:hyperlink r:id="rId5" w:tgtFrame="_blank" w:history="1">
        <w:r w:rsidRPr="005A133A">
          <w:rPr>
            <w:rFonts w:ascii="Courier New" w:eastAsia="Times New Roman" w:hAnsi="Courier New" w:cs="Courier New"/>
            <w:color w:val="0066CC"/>
            <w:sz w:val="20"/>
            <w:lang w:eastAsia="fr-FR"/>
          </w:rPr>
          <w:t>http://www.sjv.se/swedishboardofagriculture/engelskasidor/animals/import/dogsandcats/futurenewrulesfordogandcatimport.4.14121bbd12def92a91780004572.html</w:t>
        </w:r>
      </w:hyperlink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sz w:val="20"/>
          <w:szCs w:val="20"/>
          <w:lang w:eastAsia="fr-FR"/>
        </w:rPr>
      </w:pPr>
      <w:hyperlink r:id="rId6" w:tgtFrame="_blank" w:history="1">
        <w:r w:rsidRPr="005A133A">
          <w:rPr>
            <w:rFonts w:ascii="Courier New" w:eastAsia="Times New Roman" w:hAnsi="Courier New" w:cs="Courier New"/>
            <w:color w:val="0066CC"/>
            <w:sz w:val="20"/>
            <w:lang w:eastAsia="fr-FR"/>
          </w:rPr>
          <w:t>http://www.mattilsynet.no/english/import_export/import_of_dogs__cats_and_ferrets_from_eu_countries__except_sweden__16400</w:t>
        </w:r>
      </w:hyperlink>
      <w:r w:rsidRPr="005A133A">
        <w:rPr>
          <w:rFonts w:ascii="Tahoma" w:eastAsia="Times New Roman" w:hAnsi="Tahoma" w:cs="Tahoma"/>
          <w:b/>
          <w:bCs/>
          <w:color w:val="1F497D"/>
          <w:sz w:val="26"/>
          <w:szCs w:val="26"/>
          <w:lang w:eastAsia="fr-FR"/>
        </w:rPr>
        <w:t xml:space="preserve"> </w:t>
      </w:r>
    </w:p>
    <w:p w:rsidR="005A133A" w:rsidRPr="005A133A" w:rsidRDefault="005A133A" w:rsidP="005A133A">
      <w:pPr>
        <w:shd w:val="clear" w:color="auto" w:fill="FFFFFF"/>
        <w:spacing w:after="324" w:line="240" w:lineRule="auto"/>
        <w:rPr>
          <w:rFonts w:ascii="Tahoma" w:eastAsia="Times New Roman" w:hAnsi="Tahoma" w:cs="Tahoma"/>
          <w:color w:val="2A2A2A"/>
          <w:sz w:val="20"/>
          <w:szCs w:val="20"/>
          <w:lang w:eastAsia="fr-FR"/>
        </w:rPr>
      </w:pPr>
      <w:r w:rsidRPr="005A133A">
        <w:rPr>
          <w:rFonts w:ascii="Tahoma" w:eastAsia="Times New Roman" w:hAnsi="Tahoma" w:cs="Tahoma"/>
          <w:color w:val="1F497D"/>
          <w:sz w:val="26"/>
          <w:szCs w:val="26"/>
          <w:lang w:eastAsia="fr-FR"/>
        </w:rPr>
        <w:t> </w:t>
      </w:r>
    </w:p>
    <w:p w:rsidR="00154860" w:rsidRDefault="00A278B3"/>
    <w:sectPr w:rsidR="00154860" w:rsidSect="00645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133A"/>
    <w:rsid w:val="005A133A"/>
    <w:rsid w:val="00645165"/>
    <w:rsid w:val="00A278B3"/>
    <w:rsid w:val="00AA6DA8"/>
    <w:rsid w:val="00EA1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1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A133A"/>
    <w:rPr>
      <w:strike w:val="0"/>
      <w:dstrike w:val="0"/>
      <w:color w:val="0066CC"/>
      <w:u w:val="none"/>
      <w:effect w:val="none"/>
    </w:rPr>
  </w:style>
  <w:style w:type="paragraph" w:customStyle="1" w:styleId="ecxmsonormal">
    <w:name w:val="ecxmsonormal"/>
    <w:basedOn w:val="Normal"/>
    <w:rsid w:val="005A133A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cxmsoplaintext">
    <w:name w:val="ecxmsoplaintext"/>
    <w:basedOn w:val="Normal"/>
    <w:rsid w:val="005A133A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3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18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818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072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7003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402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8935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29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3581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237285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939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4733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070364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2179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77267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ttilsynet.no/english/import_export/import_of_dogs__cats_and_ferrets_from_eu_countries__except_sweden__16400" TargetMode="External"/><Relationship Id="rId5" Type="http://schemas.openxmlformats.org/officeDocument/2006/relationships/hyperlink" Target="http://www.sjv.se/swedishboardofagriculture/engelskasidor/animals/import/dogsandcats/futurenewrulesfordogandcatimport.4.14121bbd12def92a91780004572.html" TargetMode="External"/><Relationship Id="rId4" Type="http://schemas.openxmlformats.org/officeDocument/2006/relationships/hyperlink" Target="http://www.defra.gov.uk/wildlife-pets/pets/travel/pets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pietrini</dc:creator>
  <cp:lastModifiedBy>pietrini</cp:lastModifiedBy>
  <cp:revision>1</cp:revision>
  <dcterms:created xsi:type="dcterms:W3CDTF">2012-01-02T15:51:00Z</dcterms:created>
  <dcterms:modified xsi:type="dcterms:W3CDTF">2012-01-02T16:03:00Z</dcterms:modified>
</cp:coreProperties>
</file>